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12E47C" w14:textId="566B061D" w:rsidR="00DC0E29" w:rsidRDefault="00DC0E29" w:rsidP="005E4338">
      <w:pPr>
        <w:tabs>
          <w:tab w:val="left" w:pos="6802"/>
        </w:tabs>
        <w:jc w:val="center"/>
        <w:rPr>
          <w:rFonts w:asciiTheme="minorBidi" w:hAnsiTheme="minorBidi" w:cstheme="minorBidi"/>
          <w:b/>
          <w:bCs/>
          <w:sz w:val="44"/>
          <w:szCs w:val="44"/>
        </w:rPr>
      </w:pPr>
      <w:r w:rsidRPr="0036619F">
        <w:rPr>
          <w:rFonts w:asciiTheme="minorBidi" w:hAnsiTheme="minorBidi" w:cstheme="minorBidi"/>
          <w:b/>
          <w:bCs/>
          <w:sz w:val="44"/>
          <w:szCs w:val="44"/>
        </w:rPr>
        <w:t>Confidential</w:t>
      </w:r>
      <w:r w:rsidR="001603A7">
        <w:rPr>
          <w:rFonts w:asciiTheme="minorBidi" w:hAnsiTheme="minorBidi" w:cstheme="minorBidi"/>
          <w:b/>
          <w:bCs/>
          <w:sz w:val="44"/>
          <w:szCs w:val="44"/>
        </w:rPr>
        <w:t>ity</w:t>
      </w:r>
      <w:r w:rsidRPr="0036619F">
        <w:rPr>
          <w:rFonts w:asciiTheme="minorBidi" w:hAnsiTheme="minorBidi" w:cstheme="minorBidi"/>
          <w:b/>
          <w:bCs/>
          <w:sz w:val="44"/>
          <w:szCs w:val="44"/>
        </w:rPr>
        <w:t xml:space="preserve"> and Data Protection Policy</w:t>
      </w:r>
    </w:p>
    <w:p w14:paraId="594F859A" w14:textId="77777777" w:rsidR="005E4338" w:rsidRPr="0036619F" w:rsidRDefault="005E4338" w:rsidP="005E4338">
      <w:pPr>
        <w:tabs>
          <w:tab w:val="left" w:pos="6802"/>
        </w:tabs>
        <w:jc w:val="center"/>
        <w:rPr>
          <w:rFonts w:asciiTheme="minorBidi" w:hAnsiTheme="minorBidi" w:cstheme="minorBidi"/>
          <w:b/>
          <w:bCs/>
          <w:sz w:val="44"/>
          <w:szCs w:val="44"/>
        </w:rPr>
      </w:pPr>
    </w:p>
    <w:p w14:paraId="413725E4" w14:textId="6B912442" w:rsidR="00DC0E29" w:rsidRPr="0036619F" w:rsidRDefault="00DC0E29" w:rsidP="00DC0E29">
      <w:pPr>
        <w:tabs>
          <w:tab w:val="left" w:pos="6802"/>
        </w:tabs>
        <w:rPr>
          <w:rFonts w:asciiTheme="minorBidi" w:hAnsiTheme="minorBidi" w:cstheme="minorBidi"/>
          <w:sz w:val="28"/>
          <w:szCs w:val="28"/>
        </w:rPr>
      </w:pPr>
      <w:r w:rsidRPr="0036619F">
        <w:rPr>
          <w:rFonts w:asciiTheme="minorBidi" w:hAnsiTheme="minorBidi" w:cstheme="minorBidi"/>
          <w:sz w:val="28"/>
          <w:szCs w:val="28"/>
        </w:rPr>
        <w:t>Introduction</w:t>
      </w:r>
    </w:p>
    <w:p w14:paraId="56AC4969" w14:textId="1E1D65C9" w:rsidR="00DC0E29" w:rsidRPr="0036619F" w:rsidRDefault="00DC0E29" w:rsidP="00C93A5C">
      <w:pPr>
        <w:tabs>
          <w:tab w:val="left" w:pos="6802"/>
        </w:tabs>
        <w:rPr>
          <w:rFonts w:asciiTheme="minorBidi" w:hAnsiTheme="minorBidi" w:cstheme="minorBidi"/>
          <w:sz w:val="28"/>
          <w:szCs w:val="28"/>
        </w:rPr>
      </w:pPr>
      <w:r w:rsidRPr="0036619F">
        <w:rPr>
          <w:rFonts w:asciiTheme="minorBidi" w:hAnsiTheme="minorBidi" w:cstheme="minorBidi"/>
          <w:sz w:val="28"/>
          <w:szCs w:val="28"/>
        </w:rPr>
        <w:t xml:space="preserve">The General Data Protection Policy (GDPP) outlines the measures our company takes to safeguard the personal information of employees, students, and clients. </w:t>
      </w:r>
      <w:r w:rsidR="00DE1496">
        <w:rPr>
          <w:rFonts w:asciiTheme="minorBidi" w:hAnsiTheme="minorBidi" w:cstheme="minorBidi"/>
          <w:sz w:val="28"/>
          <w:szCs w:val="28"/>
        </w:rPr>
        <w:t xml:space="preserve">The data protection is regulated in Oman with </w:t>
      </w:r>
      <w:r w:rsidR="00DE1496" w:rsidRPr="00DE1496">
        <w:rPr>
          <w:rFonts w:asciiTheme="minorBidi" w:hAnsiTheme="minorBidi" w:cstheme="minorBidi"/>
          <w:b/>
          <w:bCs/>
          <w:sz w:val="28"/>
          <w:szCs w:val="28"/>
        </w:rPr>
        <w:t>Personal Data Protection Law (PDPL)</w:t>
      </w:r>
      <w:r w:rsidR="00DE1496" w:rsidRPr="00DE1496">
        <w:rPr>
          <w:rFonts w:asciiTheme="minorBidi" w:hAnsiTheme="minorBidi" w:cstheme="minorBidi"/>
          <w:sz w:val="28"/>
          <w:szCs w:val="28"/>
        </w:rPr>
        <w:t xml:space="preserve"> that came into force </w:t>
      </w:r>
      <w:r w:rsidR="00AB1F22">
        <w:rPr>
          <w:rFonts w:asciiTheme="minorBidi" w:hAnsiTheme="minorBidi" w:cstheme="minorBidi"/>
          <w:sz w:val="28"/>
          <w:szCs w:val="28"/>
        </w:rPr>
        <w:t>on 5 February</w:t>
      </w:r>
      <w:r w:rsidR="00DE1496" w:rsidRPr="00DE1496">
        <w:rPr>
          <w:rFonts w:asciiTheme="minorBidi" w:hAnsiTheme="minorBidi" w:cstheme="minorBidi"/>
          <w:sz w:val="28"/>
          <w:szCs w:val="28"/>
        </w:rPr>
        <w:t xml:space="preserve"> 2024. </w:t>
      </w:r>
    </w:p>
    <w:p w14:paraId="2C6AEA51" w14:textId="68D686B7" w:rsidR="00DC0E29" w:rsidRPr="0036619F" w:rsidRDefault="00DC0E29" w:rsidP="00C93A5C">
      <w:pPr>
        <w:tabs>
          <w:tab w:val="left" w:pos="6802"/>
        </w:tabs>
        <w:rPr>
          <w:rFonts w:asciiTheme="minorBidi" w:hAnsiTheme="minorBidi" w:cstheme="minorBidi"/>
          <w:sz w:val="28"/>
          <w:szCs w:val="28"/>
        </w:rPr>
      </w:pPr>
      <w:r w:rsidRPr="0036619F">
        <w:rPr>
          <w:rFonts w:asciiTheme="minorBidi" w:hAnsiTheme="minorBidi" w:cstheme="minorBidi"/>
          <w:sz w:val="28"/>
          <w:szCs w:val="28"/>
        </w:rPr>
        <w:t xml:space="preserve">TQTI, a company operating in the Training and Education sector, has access to personal, career, and employability information pertaining to its employees and trainees. As TQTI specializes in career and employability services, we are authorized to maintain records on students, staff, and graduates. This data is collected either directly from individuals through paper or electronic submissions or by staff members who assist trainees, employees, and graduates. </w:t>
      </w:r>
    </w:p>
    <w:p w14:paraId="6B2D2C93" w14:textId="3BF3F8FD" w:rsidR="00DC0E29" w:rsidRPr="0036619F" w:rsidRDefault="00DC0E29" w:rsidP="00DC0E29">
      <w:pPr>
        <w:tabs>
          <w:tab w:val="left" w:pos="6802"/>
        </w:tabs>
        <w:rPr>
          <w:rFonts w:asciiTheme="minorBidi" w:hAnsiTheme="minorBidi" w:cstheme="minorBidi"/>
          <w:sz w:val="28"/>
          <w:szCs w:val="28"/>
        </w:rPr>
      </w:pPr>
      <w:r w:rsidRPr="0036619F">
        <w:rPr>
          <w:rFonts w:asciiTheme="minorBidi" w:hAnsiTheme="minorBidi" w:cstheme="minorBidi"/>
          <w:sz w:val="28"/>
          <w:szCs w:val="28"/>
        </w:rPr>
        <w:t>TQTI is committed to data protection and adheres to both local and international compliance standards.</w:t>
      </w:r>
    </w:p>
    <w:p w14:paraId="6E60FCD8" w14:textId="77777777" w:rsidR="009D145D" w:rsidRPr="0036619F" w:rsidRDefault="009D145D" w:rsidP="009D145D">
      <w:pPr>
        <w:tabs>
          <w:tab w:val="left" w:pos="6802"/>
        </w:tabs>
        <w:rPr>
          <w:rFonts w:asciiTheme="minorBidi" w:hAnsiTheme="minorBidi" w:cstheme="minorBidi"/>
          <w:sz w:val="28"/>
          <w:szCs w:val="28"/>
        </w:rPr>
      </w:pPr>
      <w:r w:rsidRPr="0036619F">
        <w:rPr>
          <w:rFonts w:asciiTheme="minorBidi" w:hAnsiTheme="minorBidi" w:cstheme="minorBidi"/>
          <w:sz w:val="28"/>
          <w:szCs w:val="28"/>
        </w:rPr>
        <w:t xml:space="preserve">1. Confidentiality  </w:t>
      </w:r>
    </w:p>
    <w:p w14:paraId="2E3EC242" w14:textId="5060C94A" w:rsidR="00DC0E29" w:rsidRPr="0036619F" w:rsidRDefault="009D145D" w:rsidP="00CF02D9">
      <w:pPr>
        <w:pStyle w:val="ListParagraph"/>
        <w:numPr>
          <w:ilvl w:val="0"/>
          <w:numId w:val="3"/>
        </w:numPr>
        <w:tabs>
          <w:tab w:val="left" w:pos="6802"/>
        </w:tabs>
        <w:rPr>
          <w:rFonts w:asciiTheme="minorBidi" w:hAnsiTheme="minorBidi"/>
          <w:sz w:val="28"/>
          <w:szCs w:val="28"/>
        </w:rPr>
      </w:pPr>
      <w:r w:rsidRPr="0036619F">
        <w:rPr>
          <w:rFonts w:asciiTheme="minorBidi" w:hAnsiTheme="minorBidi"/>
          <w:sz w:val="28"/>
          <w:szCs w:val="28"/>
        </w:rPr>
        <w:t xml:space="preserve">The TQTI services uphold the confidentiality rights of students, graduates, and staff utilizing its services. This commitment ensures that individuals can engage in discussions or share personal or sensitive information with the assurance that their privacy will be </w:t>
      </w:r>
      <w:r w:rsidR="00D70C67" w:rsidRPr="0036619F">
        <w:rPr>
          <w:rFonts w:asciiTheme="minorBidi" w:hAnsiTheme="minorBidi"/>
          <w:sz w:val="28"/>
          <w:szCs w:val="28"/>
        </w:rPr>
        <w:t>thoroughly</w:t>
      </w:r>
      <w:r w:rsidRPr="0036619F">
        <w:rPr>
          <w:rFonts w:asciiTheme="minorBidi" w:hAnsiTheme="minorBidi"/>
          <w:sz w:val="28"/>
          <w:szCs w:val="28"/>
        </w:rPr>
        <w:t xml:space="preserve"> protected.</w:t>
      </w:r>
    </w:p>
    <w:p w14:paraId="05007DFA" w14:textId="249F6E11" w:rsidR="009D145D" w:rsidRPr="0036619F" w:rsidRDefault="009D145D" w:rsidP="00CF02D9">
      <w:pPr>
        <w:pStyle w:val="ListParagraph"/>
        <w:numPr>
          <w:ilvl w:val="0"/>
          <w:numId w:val="3"/>
        </w:numPr>
        <w:tabs>
          <w:tab w:val="left" w:pos="6802"/>
        </w:tabs>
        <w:rPr>
          <w:rFonts w:asciiTheme="minorBidi" w:hAnsiTheme="minorBidi"/>
          <w:sz w:val="28"/>
          <w:szCs w:val="28"/>
        </w:rPr>
      </w:pPr>
      <w:r w:rsidRPr="0036619F">
        <w:rPr>
          <w:rFonts w:asciiTheme="minorBidi" w:hAnsiTheme="minorBidi"/>
          <w:sz w:val="28"/>
          <w:szCs w:val="28"/>
        </w:rPr>
        <w:t xml:space="preserve">We will keep all information regarding your interactions with the TQTI services confidential and will not share it with any external parties without your consent. For instance, conversations with a TQTI Consultant will be held in the utmost confidentiality and will not be </w:t>
      </w:r>
      <w:r w:rsidRPr="0036619F">
        <w:rPr>
          <w:rFonts w:asciiTheme="minorBidi" w:hAnsiTheme="minorBidi"/>
          <w:sz w:val="28"/>
          <w:szCs w:val="28"/>
        </w:rPr>
        <w:lastRenderedPageBreak/>
        <w:t>disclosed to anyone outside of the TQTI, unless explicitly requested by you.</w:t>
      </w:r>
    </w:p>
    <w:p w14:paraId="3AF15364" w14:textId="376C663D" w:rsidR="009D145D" w:rsidRPr="0036619F" w:rsidRDefault="009D145D" w:rsidP="00CF02D9">
      <w:pPr>
        <w:pStyle w:val="ListParagraph"/>
        <w:numPr>
          <w:ilvl w:val="0"/>
          <w:numId w:val="3"/>
        </w:numPr>
        <w:tabs>
          <w:tab w:val="left" w:pos="6802"/>
        </w:tabs>
        <w:rPr>
          <w:rFonts w:asciiTheme="minorBidi" w:hAnsiTheme="minorBidi"/>
          <w:sz w:val="28"/>
          <w:szCs w:val="28"/>
        </w:rPr>
      </w:pPr>
      <w:r w:rsidRPr="0036619F">
        <w:rPr>
          <w:rFonts w:asciiTheme="minorBidi" w:hAnsiTheme="minorBidi"/>
          <w:sz w:val="28"/>
          <w:szCs w:val="28"/>
        </w:rPr>
        <w:t>TQTI services personnel will not disclose any personal information regarding clients, including details about appointment attendance, to individuals or entities outside of TQTI, such as academic staff, family members, friends, or external organizations, without obtaining the client's consent.</w:t>
      </w:r>
    </w:p>
    <w:p w14:paraId="4A15B776" w14:textId="3F8E04E4" w:rsidR="00213711" w:rsidRPr="0036619F" w:rsidRDefault="00213711" w:rsidP="00CF02D9">
      <w:pPr>
        <w:pStyle w:val="ListParagraph"/>
        <w:numPr>
          <w:ilvl w:val="0"/>
          <w:numId w:val="3"/>
        </w:numPr>
        <w:tabs>
          <w:tab w:val="left" w:pos="6802"/>
        </w:tabs>
        <w:rPr>
          <w:rFonts w:asciiTheme="minorBidi" w:hAnsiTheme="minorBidi"/>
          <w:sz w:val="28"/>
          <w:szCs w:val="28"/>
        </w:rPr>
      </w:pPr>
      <w:r w:rsidRPr="0036619F">
        <w:rPr>
          <w:rFonts w:asciiTheme="minorBidi" w:hAnsiTheme="minorBidi"/>
          <w:sz w:val="28"/>
          <w:szCs w:val="28"/>
        </w:rPr>
        <w:t xml:space="preserve">The TQTI services utilize an external provider to facilitate student access to information regarding graduate vacancies, internships, work experience opportunities, part-time employment, and volunteer positions, as well as to register for career-related events. To provide this service, a minimal amount of personal data is shared with the external provider. </w:t>
      </w:r>
    </w:p>
    <w:p w14:paraId="581770FA" w14:textId="3EDC2D2B" w:rsidR="009D145D" w:rsidRPr="0036619F" w:rsidRDefault="00213711" w:rsidP="00CF02D9">
      <w:pPr>
        <w:pStyle w:val="ListParagraph"/>
        <w:numPr>
          <w:ilvl w:val="0"/>
          <w:numId w:val="3"/>
        </w:numPr>
        <w:tabs>
          <w:tab w:val="left" w:pos="6802"/>
        </w:tabs>
        <w:rPr>
          <w:rFonts w:asciiTheme="minorBidi" w:hAnsiTheme="minorBidi"/>
          <w:sz w:val="28"/>
          <w:szCs w:val="28"/>
        </w:rPr>
      </w:pPr>
      <w:r w:rsidRPr="0036619F">
        <w:rPr>
          <w:rFonts w:asciiTheme="minorBidi" w:hAnsiTheme="minorBidi"/>
          <w:sz w:val="28"/>
          <w:szCs w:val="28"/>
        </w:rPr>
        <w:t xml:space="preserve">Individuals retain the right to withdraw from this service at any time. For additional information or to opt-out of this service, please refer to the Confidentiality &amp; Data Protection Statement and contact TQTI staff at Tel: </w:t>
      </w:r>
      <w:r w:rsidR="00414EB7">
        <w:rPr>
          <w:rFonts w:asciiTheme="minorBidi" w:hAnsiTheme="minorBidi"/>
          <w:sz w:val="28"/>
          <w:szCs w:val="28"/>
        </w:rPr>
        <w:t>99347202</w:t>
      </w:r>
      <w:r w:rsidRPr="0036619F">
        <w:rPr>
          <w:rFonts w:asciiTheme="minorBidi" w:hAnsiTheme="minorBidi"/>
          <w:sz w:val="28"/>
          <w:szCs w:val="28"/>
        </w:rPr>
        <w:t xml:space="preserve"> or via email at </w:t>
      </w:r>
      <w:hyperlink r:id="rId8" w:history="1">
        <w:r w:rsidR="00CF02D9" w:rsidRPr="0036619F">
          <w:rPr>
            <w:rStyle w:val="Hyperlink"/>
            <w:rFonts w:asciiTheme="minorBidi" w:hAnsiTheme="minorBidi"/>
            <w:sz w:val="28"/>
            <w:szCs w:val="28"/>
          </w:rPr>
          <w:t>info@tqtoman.com</w:t>
        </w:r>
      </w:hyperlink>
      <w:r w:rsidRPr="0036619F">
        <w:rPr>
          <w:rFonts w:asciiTheme="minorBidi" w:hAnsiTheme="minorBidi"/>
          <w:sz w:val="28"/>
          <w:szCs w:val="28"/>
        </w:rPr>
        <w:t>.</w:t>
      </w:r>
    </w:p>
    <w:p w14:paraId="2E87C97B" w14:textId="2DE0F4E0" w:rsidR="00CF02D9" w:rsidRPr="00D379F9" w:rsidRDefault="00CF02D9" w:rsidP="00CF02D9">
      <w:pPr>
        <w:pStyle w:val="ListParagraph"/>
        <w:numPr>
          <w:ilvl w:val="0"/>
          <w:numId w:val="3"/>
        </w:numPr>
        <w:tabs>
          <w:tab w:val="left" w:pos="6802"/>
        </w:tabs>
        <w:rPr>
          <w:rFonts w:asciiTheme="minorBidi" w:hAnsiTheme="minorBidi"/>
          <w:sz w:val="28"/>
          <w:szCs w:val="28"/>
        </w:rPr>
      </w:pPr>
      <w:r w:rsidRPr="0036619F">
        <w:rPr>
          <w:rFonts w:asciiTheme="minorBidi" w:hAnsiTheme="minorBidi"/>
          <w:sz w:val="28"/>
          <w:szCs w:val="28"/>
        </w:rPr>
        <w:t xml:space="preserve">All records are confidential to the Service and no one outside the Service will be able to access any records without your written consent or except when required to do so by law (you have </w:t>
      </w:r>
      <w:r w:rsidR="00842ECC" w:rsidRPr="0036619F">
        <w:rPr>
          <w:rFonts w:asciiTheme="minorBidi" w:hAnsiTheme="minorBidi"/>
          <w:sz w:val="28"/>
          <w:szCs w:val="28"/>
        </w:rPr>
        <w:t>the right</w:t>
      </w:r>
      <w:r w:rsidRPr="0036619F">
        <w:rPr>
          <w:rFonts w:asciiTheme="minorBidi" w:hAnsiTheme="minorBidi"/>
          <w:sz w:val="28"/>
          <w:szCs w:val="28"/>
        </w:rPr>
        <w:t xml:space="preserve"> </w:t>
      </w:r>
      <w:r w:rsidR="00B8077E" w:rsidRPr="0036619F">
        <w:rPr>
          <w:rFonts w:asciiTheme="minorBidi" w:hAnsiTheme="minorBidi"/>
          <w:sz w:val="28"/>
          <w:szCs w:val="28"/>
        </w:rPr>
        <w:t>to access</w:t>
      </w:r>
      <w:r w:rsidRPr="0036619F">
        <w:rPr>
          <w:rFonts w:asciiTheme="minorBidi" w:hAnsiTheme="minorBidi"/>
          <w:sz w:val="28"/>
          <w:szCs w:val="28"/>
        </w:rPr>
        <w:t xml:space="preserve"> your own record under the data protection laws. We will take all reasonable steps to safeguard the security of any information about you that we hold in electronic format. We will destroy all written and electronic records after </w:t>
      </w:r>
      <w:r w:rsidRPr="0036619F">
        <w:rPr>
          <w:rFonts w:asciiTheme="minorBidi" w:hAnsiTheme="minorBidi"/>
          <w:b/>
          <w:bCs/>
          <w:color w:val="000000" w:themeColor="text1"/>
          <w:sz w:val="28"/>
          <w:szCs w:val="28"/>
          <w:highlight w:val="yellow"/>
          <w:shd w:val="clear" w:color="auto" w:fill="FFC000"/>
        </w:rPr>
        <w:t>(Three years)</w:t>
      </w:r>
      <w:r w:rsidR="00CE1684">
        <w:rPr>
          <w:rFonts w:asciiTheme="minorBidi" w:hAnsiTheme="minorBidi"/>
          <w:b/>
          <w:bCs/>
          <w:sz w:val="28"/>
          <w:szCs w:val="28"/>
        </w:rPr>
        <w:t xml:space="preserve"> except </w:t>
      </w:r>
      <w:r w:rsidR="00D379F9" w:rsidRPr="00D379F9">
        <w:rPr>
          <w:rFonts w:asciiTheme="minorBidi" w:hAnsiTheme="minorBidi"/>
          <w:sz w:val="28"/>
          <w:szCs w:val="28"/>
        </w:rPr>
        <w:t xml:space="preserve">financial records </w:t>
      </w:r>
      <w:r w:rsidR="00CE1684">
        <w:rPr>
          <w:rFonts w:asciiTheme="minorBidi" w:hAnsiTheme="minorBidi"/>
          <w:sz w:val="28"/>
          <w:szCs w:val="28"/>
        </w:rPr>
        <w:t xml:space="preserve">will be maintained </w:t>
      </w:r>
      <w:r w:rsidR="00D379F9" w:rsidRPr="00D379F9">
        <w:rPr>
          <w:rFonts w:asciiTheme="minorBidi" w:hAnsiTheme="minorBidi"/>
          <w:sz w:val="28"/>
          <w:szCs w:val="28"/>
        </w:rPr>
        <w:t xml:space="preserve">at least </w:t>
      </w:r>
      <w:r w:rsidR="00D379F9" w:rsidRPr="00D379F9">
        <w:rPr>
          <w:rFonts w:asciiTheme="minorBidi" w:hAnsiTheme="minorBidi"/>
          <w:sz w:val="28"/>
          <w:szCs w:val="28"/>
          <w:highlight w:val="yellow"/>
        </w:rPr>
        <w:t>(Five years)</w:t>
      </w:r>
      <w:r w:rsidR="00D379F9" w:rsidRPr="00D379F9">
        <w:rPr>
          <w:rFonts w:asciiTheme="minorBidi" w:hAnsiTheme="minorBidi"/>
          <w:sz w:val="28"/>
          <w:szCs w:val="28"/>
        </w:rPr>
        <w:t xml:space="preserve"> according to Commercial Companies Law (Royal Decree No. 18/2019), article 18.</w:t>
      </w:r>
    </w:p>
    <w:p w14:paraId="01D90DD0" w14:textId="64588F92" w:rsidR="00CF02D9" w:rsidRPr="0036619F" w:rsidRDefault="00CF02D9" w:rsidP="00CF02D9">
      <w:pPr>
        <w:pStyle w:val="ListParagraph"/>
        <w:numPr>
          <w:ilvl w:val="0"/>
          <w:numId w:val="3"/>
        </w:numPr>
        <w:tabs>
          <w:tab w:val="left" w:pos="6802"/>
        </w:tabs>
        <w:rPr>
          <w:rFonts w:asciiTheme="minorBidi" w:hAnsiTheme="minorBidi"/>
          <w:sz w:val="28"/>
          <w:szCs w:val="28"/>
        </w:rPr>
      </w:pPr>
      <w:r w:rsidRPr="0036619F">
        <w:rPr>
          <w:rFonts w:asciiTheme="minorBidi" w:hAnsiTheme="minorBidi"/>
          <w:sz w:val="28"/>
          <w:szCs w:val="28"/>
        </w:rPr>
        <w:t xml:space="preserve">We will guarantee that any statistical data shared with external parties, such as for service evaluation, is presented in an anonymous manner to prevent the identification of individuals. </w:t>
      </w:r>
    </w:p>
    <w:p w14:paraId="7BB9D471" w14:textId="705BD624" w:rsidR="00CF02D9" w:rsidRPr="005E4338" w:rsidRDefault="00CF02D9" w:rsidP="005E4338">
      <w:pPr>
        <w:pStyle w:val="ListParagraph"/>
        <w:numPr>
          <w:ilvl w:val="0"/>
          <w:numId w:val="3"/>
        </w:numPr>
        <w:tabs>
          <w:tab w:val="left" w:pos="6802"/>
        </w:tabs>
        <w:rPr>
          <w:rFonts w:asciiTheme="minorBidi" w:hAnsiTheme="minorBidi"/>
          <w:sz w:val="28"/>
          <w:szCs w:val="28"/>
        </w:rPr>
      </w:pPr>
      <w:r w:rsidRPr="0036619F">
        <w:rPr>
          <w:rFonts w:asciiTheme="minorBidi" w:hAnsiTheme="minorBidi"/>
          <w:sz w:val="28"/>
          <w:szCs w:val="28"/>
        </w:rPr>
        <w:t xml:space="preserve">In the situations mentioned above, staff will strive to obtain the necessary consent before revealing any personal information. However, if the crisis or threat is deemed to be significantly serious or </w:t>
      </w:r>
      <w:r w:rsidRPr="0036619F">
        <w:rPr>
          <w:rFonts w:asciiTheme="minorBidi" w:hAnsiTheme="minorBidi"/>
          <w:sz w:val="28"/>
          <w:szCs w:val="28"/>
        </w:rPr>
        <w:lastRenderedPageBreak/>
        <w:t>urgent, the information may be disclosed without the client's consent. In all cases, the disclosed information will be limited to what is essential for an effective response to the situation.</w:t>
      </w:r>
    </w:p>
    <w:p w14:paraId="4A4517CA" w14:textId="77777777" w:rsidR="00CF02D9" w:rsidRPr="0036619F" w:rsidRDefault="00CF02D9" w:rsidP="00CF02D9">
      <w:pPr>
        <w:tabs>
          <w:tab w:val="left" w:pos="6802"/>
        </w:tabs>
        <w:rPr>
          <w:rFonts w:asciiTheme="minorBidi" w:hAnsiTheme="minorBidi" w:cstheme="minorBidi"/>
          <w:sz w:val="28"/>
          <w:szCs w:val="28"/>
        </w:rPr>
      </w:pPr>
      <w:r w:rsidRPr="0036619F">
        <w:rPr>
          <w:rFonts w:asciiTheme="minorBidi" w:hAnsiTheme="minorBidi" w:cstheme="minorBidi"/>
          <w:sz w:val="28"/>
          <w:szCs w:val="28"/>
        </w:rPr>
        <w:t xml:space="preserve">2. Record Management and Data Security  </w:t>
      </w:r>
    </w:p>
    <w:p w14:paraId="71FD335A" w14:textId="6BB6DED9" w:rsidR="00CF02D9" w:rsidRPr="0036619F" w:rsidRDefault="00CF02D9" w:rsidP="0000424B">
      <w:pPr>
        <w:tabs>
          <w:tab w:val="left" w:pos="6802"/>
        </w:tabs>
        <w:rPr>
          <w:rFonts w:asciiTheme="minorBidi" w:hAnsiTheme="minorBidi" w:cstheme="minorBidi"/>
          <w:sz w:val="28"/>
          <w:szCs w:val="28"/>
        </w:rPr>
      </w:pPr>
      <w:r w:rsidRPr="0036619F">
        <w:rPr>
          <w:rFonts w:asciiTheme="minorBidi" w:hAnsiTheme="minorBidi" w:cstheme="minorBidi"/>
          <w:sz w:val="28"/>
          <w:szCs w:val="28"/>
        </w:rPr>
        <w:t xml:space="preserve">The TQTI services maintain essential information, such as names, courses, contact information, and other biographical details, for administrative purposes. This data may be stored in both physical and electronic formats and is utilized to generate anonymous statistical insights regarding users and their engagement with TQTI services. The services adhere to established protocols that prevent the retention of personal records beyond what is deemed necessary, in compliance with current data protection laws, the TQTI Codes of Practice, and recommendations from </w:t>
      </w:r>
      <w:r w:rsidR="00BE7AE1" w:rsidRPr="0036619F">
        <w:rPr>
          <w:rFonts w:asciiTheme="minorBidi" w:hAnsiTheme="minorBidi" w:cstheme="minorBidi"/>
          <w:sz w:val="28"/>
          <w:szCs w:val="28"/>
        </w:rPr>
        <w:t>related</w:t>
      </w:r>
      <w:r w:rsidRPr="0036619F">
        <w:rPr>
          <w:rFonts w:asciiTheme="minorBidi" w:hAnsiTheme="minorBidi" w:cstheme="minorBidi"/>
          <w:sz w:val="28"/>
          <w:szCs w:val="28"/>
        </w:rPr>
        <w:t xml:space="preserve"> professional organizations.  </w:t>
      </w:r>
    </w:p>
    <w:p w14:paraId="49132307" w14:textId="77777777" w:rsidR="00CF02D9" w:rsidRPr="0036619F" w:rsidRDefault="00CF02D9" w:rsidP="00CF02D9">
      <w:pPr>
        <w:tabs>
          <w:tab w:val="left" w:pos="6802"/>
        </w:tabs>
        <w:rPr>
          <w:rFonts w:asciiTheme="minorBidi" w:hAnsiTheme="minorBidi" w:cstheme="minorBidi"/>
          <w:sz w:val="28"/>
          <w:szCs w:val="28"/>
        </w:rPr>
      </w:pPr>
      <w:r w:rsidRPr="0036619F">
        <w:rPr>
          <w:rFonts w:asciiTheme="minorBidi" w:hAnsiTheme="minorBidi" w:cstheme="minorBidi"/>
          <w:sz w:val="28"/>
          <w:szCs w:val="28"/>
        </w:rPr>
        <w:t xml:space="preserve">3. Personal Information  </w:t>
      </w:r>
    </w:p>
    <w:p w14:paraId="66467C11" w14:textId="6C7D71DE" w:rsidR="00CF02D9" w:rsidRPr="0036619F" w:rsidRDefault="00CF02D9" w:rsidP="005E4338">
      <w:pPr>
        <w:tabs>
          <w:tab w:val="left" w:pos="6802"/>
        </w:tabs>
        <w:rPr>
          <w:rFonts w:asciiTheme="minorBidi" w:hAnsiTheme="minorBidi" w:cstheme="minorBidi"/>
          <w:sz w:val="28"/>
          <w:szCs w:val="28"/>
        </w:rPr>
      </w:pPr>
      <w:r w:rsidRPr="0036619F">
        <w:rPr>
          <w:rFonts w:asciiTheme="minorBidi" w:hAnsiTheme="minorBidi" w:cstheme="minorBidi"/>
          <w:sz w:val="28"/>
          <w:szCs w:val="28"/>
        </w:rPr>
        <w:t>During formal consultations with career advisors, clients may share personal and sensitive information related to finances, disabilities, medical conditions, or personal challenges. A record of these discussions may be maintained to ensure that appropriate guidance or responses are provided, especially during future visits. Notes may capture key points or issues discussed, the advice or information provided by the advisor, relevant background details, any actions to be taken, and information regarding follow-up actions, along with any associated correspondence. Additionally, any concerns raised may also be documented.</w:t>
      </w:r>
    </w:p>
    <w:p w14:paraId="3316DC73" w14:textId="77777777" w:rsidR="001226BF" w:rsidRPr="0036619F" w:rsidRDefault="001226BF" w:rsidP="001226BF">
      <w:pPr>
        <w:tabs>
          <w:tab w:val="left" w:pos="6802"/>
        </w:tabs>
        <w:rPr>
          <w:rFonts w:asciiTheme="minorBidi" w:hAnsiTheme="minorBidi" w:cstheme="minorBidi"/>
          <w:sz w:val="28"/>
          <w:szCs w:val="28"/>
        </w:rPr>
      </w:pPr>
      <w:r w:rsidRPr="0036619F">
        <w:rPr>
          <w:rFonts w:asciiTheme="minorBidi" w:hAnsiTheme="minorBidi" w:cstheme="minorBidi"/>
          <w:sz w:val="28"/>
          <w:szCs w:val="28"/>
        </w:rPr>
        <w:t xml:space="preserve">4. Inquiry for Personal Information  </w:t>
      </w:r>
    </w:p>
    <w:p w14:paraId="334A381E" w14:textId="0B9E62C7" w:rsidR="001226BF" w:rsidRPr="0036619F" w:rsidRDefault="001226BF" w:rsidP="0000424B">
      <w:pPr>
        <w:tabs>
          <w:tab w:val="left" w:pos="6802"/>
        </w:tabs>
        <w:rPr>
          <w:rFonts w:asciiTheme="minorBidi" w:hAnsiTheme="minorBidi" w:cstheme="minorBidi"/>
          <w:sz w:val="28"/>
          <w:szCs w:val="28"/>
        </w:rPr>
      </w:pPr>
      <w:r w:rsidRPr="0036619F">
        <w:rPr>
          <w:rFonts w:asciiTheme="minorBidi" w:hAnsiTheme="minorBidi" w:cstheme="minorBidi"/>
          <w:sz w:val="28"/>
          <w:szCs w:val="28"/>
        </w:rPr>
        <w:t xml:space="preserve">According to data protection regulations, clients are entitled to request any information that TQTI holds about them as individuals. To inquire about their personal data, clients must complete the official request form provided by TQTI, which can be obtained from the Administration Section (email: </w:t>
      </w:r>
      <w:hyperlink r:id="rId9" w:history="1">
        <w:r w:rsidRPr="0036619F">
          <w:rPr>
            <w:rStyle w:val="Hyperlink"/>
            <w:rFonts w:asciiTheme="minorBidi" w:hAnsiTheme="minorBidi" w:cstheme="minorBidi"/>
            <w:sz w:val="28"/>
            <w:szCs w:val="28"/>
          </w:rPr>
          <w:t>info@tqtoman.com</w:t>
        </w:r>
      </w:hyperlink>
      <w:r w:rsidRPr="0036619F">
        <w:rPr>
          <w:rFonts w:asciiTheme="minorBidi" w:hAnsiTheme="minorBidi" w:cstheme="minorBidi"/>
          <w:sz w:val="28"/>
          <w:szCs w:val="28"/>
        </w:rPr>
        <w:t>).</w:t>
      </w:r>
    </w:p>
    <w:p w14:paraId="3EE1B350" w14:textId="77777777" w:rsidR="001226BF" w:rsidRPr="0036619F" w:rsidRDefault="001226BF" w:rsidP="001226BF">
      <w:pPr>
        <w:tabs>
          <w:tab w:val="left" w:pos="6802"/>
        </w:tabs>
        <w:rPr>
          <w:rFonts w:asciiTheme="minorBidi" w:hAnsiTheme="minorBidi" w:cstheme="minorBidi"/>
          <w:sz w:val="28"/>
          <w:szCs w:val="28"/>
        </w:rPr>
      </w:pPr>
      <w:r w:rsidRPr="0036619F">
        <w:rPr>
          <w:rFonts w:asciiTheme="minorBidi" w:hAnsiTheme="minorBidi" w:cstheme="minorBidi"/>
          <w:sz w:val="28"/>
          <w:szCs w:val="28"/>
        </w:rPr>
        <w:lastRenderedPageBreak/>
        <w:t xml:space="preserve">5. Additional Information and Complaints Regarding Data  </w:t>
      </w:r>
    </w:p>
    <w:p w14:paraId="2E72F576" w14:textId="7C7AB961" w:rsidR="00F659E7" w:rsidRPr="0036619F" w:rsidRDefault="001226BF" w:rsidP="001226BF">
      <w:pPr>
        <w:tabs>
          <w:tab w:val="left" w:pos="6802"/>
        </w:tabs>
        <w:rPr>
          <w:rFonts w:asciiTheme="minorBidi" w:hAnsiTheme="minorBidi" w:cstheme="minorBidi"/>
          <w:sz w:val="28"/>
          <w:szCs w:val="28"/>
        </w:rPr>
      </w:pPr>
      <w:r w:rsidRPr="0036619F">
        <w:rPr>
          <w:rFonts w:asciiTheme="minorBidi" w:hAnsiTheme="minorBidi" w:cstheme="minorBidi"/>
          <w:sz w:val="28"/>
          <w:szCs w:val="28"/>
        </w:rPr>
        <w:t xml:space="preserve">If you have any issues related to data protection or confidentiality, please do not hesitate to discuss them with any staff member. For concerns or complaints regarding the use or non-use of the information you have provided, please contact the </w:t>
      </w:r>
      <w:r w:rsidR="00F659E7" w:rsidRPr="0036619F">
        <w:rPr>
          <w:rFonts w:asciiTheme="minorBidi" w:hAnsiTheme="minorBidi" w:cstheme="minorBidi"/>
          <w:sz w:val="28"/>
          <w:szCs w:val="28"/>
        </w:rPr>
        <w:t xml:space="preserve">person responsible: </w:t>
      </w:r>
    </w:p>
    <w:p w14:paraId="19446BBA" w14:textId="0ECB6437" w:rsidR="00CF02D9" w:rsidRDefault="00F659E7" w:rsidP="001226BF">
      <w:pPr>
        <w:tabs>
          <w:tab w:val="left" w:pos="6802"/>
        </w:tabs>
        <w:rPr>
          <w:rFonts w:asciiTheme="minorBidi" w:hAnsiTheme="minorBidi" w:cstheme="minorBidi"/>
          <w:sz w:val="28"/>
          <w:szCs w:val="28"/>
        </w:rPr>
      </w:pPr>
      <w:r w:rsidRPr="0036619F">
        <w:rPr>
          <w:rFonts w:asciiTheme="minorBidi" w:hAnsiTheme="minorBidi" w:cstheme="minorBidi"/>
          <w:sz w:val="28"/>
          <w:szCs w:val="28"/>
        </w:rPr>
        <w:t>D</w:t>
      </w:r>
      <w:r w:rsidR="001226BF" w:rsidRPr="0036619F">
        <w:rPr>
          <w:rFonts w:asciiTheme="minorBidi" w:hAnsiTheme="minorBidi" w:cstheme="minorBidi"/>
          <w:sz w:val="28"/>
          <w:szCs w:val="28"/>
        </w:rPr>
        <w:t xml:space="preserve">r. </w:t>
      </w:r>
      <w:r w:rsidRPr="0036619F">
        <w:rPr>
          <w:rFonts w:asciiTheme="minorBidi" w:hAnsiTheme="minorBidi" w:cstheme="minorBidi"/>
          <w:sz w:val="28"/>
          <w:szCs w:val="28"/>
        </w:rPr>
        <w:t>Sam</w:t>
      </w:r>
      <w:r w:rsidR="006406DE">
        <w:rPr>
          <w:rFonts w:asciiTheme="minorBidi" w:hAnsiTheme="minorBidi" w:cstheme="minorBidi"/>
          <w:sz w:val="28"/>
          <w:szCs w:val="28"/>
        </w:rPr>
        <w:t>i</w:t>
      </w:r>
      <w:r w:rsidRPr="0036619F">
        <w:rPr>
          <w:rFonts w:asciiTheme="minorBidi" w:hAnsiTheme="minorBidi" w:cstheme="minorBidi"/>
          <w:sz w:val="28"/>
          <w:szCs w:val="28"/>
        </w:rPr>
        <w:t xml:space="preserve">r </w:t>
      </w:r>
      <w:r w:rsidR="001226BF" w:rsidRPr="0036619F">
        <w:rPr>
          <w:rFonts w:asciiTheme="minorBidi" w:hAnsiTheme="minorBidi" w:cstheme="minorBidi"/>
          <w:sz w:val="28"/>
          <w:szCs w:val="28"/>
        </w:rPr>
        <w:t xml:space="preserve">Al </w:t>
      </w:r>
      <w:r w:rsidRPr="0036619F">
        <w:rPr>
          <w:rFonts w:asciiTheme="minorBidi" w:hAnsiTheme="minorBidi" w:cstheme="minorBidi"/>
          <w:sz w:val="28"/>
          <w:szCs w:val="28"/>
        </w:rPr>
        <w:t>Bahrani</w:t>
      </w:r>
      <w:r w:rsidR="001226BF" w:rsidRPr="0036619F">
        <w:rPr>
          <w:rFonts w:asciiTheme="minorBidi" w:hAnsiTheme="minorBidi" w:cstheme="minorBidi"/>
          <w:sz w:val="28"/>
          <w:szCs w:val="28"/>
        </w:rPr>
        <w:t xml:space="preserve">, at (email: </w:t>
      </w:r>
      <w:hyperlink r:id="rId10" w:history="1">
        <w:r w:rsidR="001D4124" w:rsidRPr="0036619F">
          <w:rPr>
            <w:rStyle w:val="Hyperlink"/>
            <w:rFonts w:asciiTheme="minorBidi" w:hAnsiTheme="minorBidi" w:cstheme="minorBidi"/>
            <w:sz w:val="28"/>
            <w:szCs w:val="28"/>
          </w:rPr>
          <w:t>info@tqtoman.com</w:t>
        </w:r>
      </w:hyperlink>
      <w:r w:rsidR="001226BF" w:rsidRPr="0036619F">
        <w:rPr>
          <w:rFonts w:asciiTheme="minorBidi" w:hAnsiTheme="minorBidi" w:cstheme="minorBidi"/>
          <w:sz w:val="28"/>
          <w:szCs w:val="28"/>
        </w:rPr>
        <w:t>).</w:t>
      </w:r>
    </w:p>
    <w:p w14:paraId="72DC3395" w14:textId="0668A8D7" w:rsidR="0000424B" w:rsidRDefault="0000424B" w:rsidP="001226BF">
      <w:pPr>
        <w:tabs>
          <w:tab w:val="left" w:pos="6802"/>
        </w:tabs>
        <w:rPr>
          <w:rFonts w:asciiTheme="minorBidi" w:hAnsiTheme="minorBidi" w:cstheme="minorBidi"/>
          <w:sz w:val="28"/>
          <w:szCs w:val="28"/>
        </w:rPr>
      </w:pPr>
    </w:p>
    <w:p w14:paraId="02E00A9A" w14:textId="77777777" w:rsidR="00223E8B" w:rsidRDefault="00223E8B" w:rsidP="001226BF">
      <w:pPr>
        <w:tabs>
          <w:tab w:val="left" w:pos="6802"/>
        </w:tabs>
        <w:rPr>
          <w:rFonts w:asciiTheme="minorBidi" w:hAnsiTheme="minorBidi" w:cstheme="minorBidi"/>
          <w:sz w:val="28"/>
          <w:szCs w:val="28"/>
        </w:rPr>
      </w:pPr>
    </w:p>
    <w:p w14:paraId="67AAD1FE" w14:textId="77777777" w:rsidR="00223E8B" w:rsidRDefault="00223E8B" w:rsidP="001226BF">
      <w:pPr>
        <w:tabs>
          <w:tab w:val="left" w:pos="6802"/>
        </w:tabs>
        <w:rPr>
          <w:rFonts w:asciiTheme="minorBidi" w:hAnsiTheme="minorBidi" w:cstheme="minorBidi"/>
          <w:sz w:val="28"/>
          <w:szCs w:val="28"/>
        </w:rPr>
      </w:pPr>
    </w:p>
    <w:p w14:paraId="56DA8CEB" w14:textId="36096B59" w:rsidR="005E4338" w:rsidRPr="0036619F" w:rsidRDefault="00223E8B" w:rsidP="00223E8B">
      <w:pPr>
        <w:tabs>
          <w:tab w:val="left" w:pos="2057"/>
        </w:tabs>
        <w:rPr>
          <w:rFonts w:asciiTheme="minorBidi" w:hAnsiTheme="minorBidi" w:cstheme="minorBidi"/>
          <w:sz w:val="28"/>
          <w:szCs w:val="28"/>
        </w:rPr>
      </w:pPr>
      <w:r>
        <w:rPr>
          <w:noProof/>
        </w:rPr>
        <w:drawing>
          <wp:anchor distT="0" distB="0" distL="114300" distR="114300" simplePos="0" relativeHeight="251658240" behindDoc="0" locked="0" layoutInCell="1" allowOverlap="1" wp14:anchorId="00980D39" wp14:editId="5F5AB61D">
            <wp:simplePos x="0" y="0"/>
            <wp:positionH relativeFrom="margin">
              <wp:posOffset>2251075</wp:posOffset>
            </wp:positionH>
            <wp:positionV relativeFrom="paragraph">
              <wp:posOffset>303439</wp:posOffset>
            </wp:positionV>
            <wp:extent cx="1127760" cy="646430"/>
            <wp:effectExtent l="0" t="0" r="0" b="1270"/>
            <wp:wrapSquare wrapText="bothSides"/>
            <wp:docPr id="5250789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27760" cy="64643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Bidi" w:hAnsiTheme="minorBidi" w:cstheme="minorBidi"/>
          <w:sz w:val="28"/>
          <w:szCs w:val="28"/>
        </w:rPr>
        <w:tab/>
      </w:r>
    </w:p>
    <w:p w14:paraId="772999D5" w14:textId="77777777" w:rsidR="00223E8B" w:rsidRDefault="00491237" w:rsidP="005E4338">
      <w:pPr>
        <w:tabs>
          <w:tab w:val="left" w:pos="6802"/>
        </w:tabs>
        <w:rPr>
          <w:b/>
          <w:bCs/>
        </w:rPr>
      </w:pPr>
      <w:r>
        <w:rPr>
          <w:b/>
          <w:bCs/>
        </w:rPr>
        <w:t xml:space="preserve">                                                      </w:t>
      </w:r>
    </w:p>
    <w:p w14:paraId="0E17D25E" w14:textId="77777777" w:rsidR="00223E8B" w:rsidRDefault="00223E8B" w:rsidP="005E4338">
      <w:pPr>
        <w:tabs>
          <w:tab w:val="left" w:pos="6802"/>
        </w:tabs>
        <w:rPr>
          <w:b/>
          <w:bCs/>
        </w:rPr>
      </w:pPr>
    </w:p>
    <w:p w14:paraId="655D52DD" w14:textId="6648B827" w:rsidR="005E4338" w:rsidRPr="00410FC4" w:rsidRDefault="00223E8B" w:rsidP="005E4338">
      <w:pPr>
        <w:tabs>
          <w:tab w:val="left" w:pos="6802"/>
        </w:tabs>
        <w:rPr>
          <w:b/>
          <w:bCs/>
        </w:rPr>
      </w:pPr>
      <w:r>
        <w:rPr>
          <w:b/>
          <w:bCs/>
        </w:rPr>
        <w:t xml:space="preserve">                                                        </w:t>
      </w:r>
      <w:r w:rsidR="00491237">
        <w:rPr>
          <w:b/>
          <w:bCs/>
        </w:rPr>
        <w:t xml:space="preserve">             </w:t>
      </w:r>
      <w:r w:rsidR="005E4338" w:rsidRPr="00410FC4">
        <w:rPr>
          <w:b/>
          <w:bCs/>
        </w:rPr>
        <w:t>Dr. Sam</w:t>
      </w:r>
      <w:r w:rsidR="006406DE">
        <w:rPr>
          <w:b/>
          <w:bCs/>
        </w:rPr>
        <w:t>i</w:t>
      </w:r>
      <w:r w:rsidR="005E4338" w:rsidRPr="00410FC4">
        <w:rPr>
          <w:b/>
          <w:bCs/>
        </w:rPr>
        <w:t>r Al Bahrani</w:t>
      </w:r>
    </w:p>
    <w:p w14:paraId="4840DEE5" w14:textId="26668766" w:rsidR="005E4338" w:rsidRPr="00FB5A7D" w:rsidRDefault="005E4338" w:rsidP="005E4338">
      <w:pPr>
        <w:tabs>
          <w:tab w:val="left" w:pos="6802"/>
        </w:tabs>
        <w:rPr>
          <w:b/>
          <w:bCs/>
        </w:rPr>
      </w:pPr>
      <w:r w:rsidRPr="00410FC4">
        <w:rPr>
          <w:b/>
          <w:bCs/>
        </w:rPr>
        <w:t xml:space="preserve">                                                                    </w:t>
      </w:r>
      <w:r w:rsidRPr="00FB5A7D">
        <w:rPr>
          <w:b/>
          <w:bCs/>
        </w:rPr>
        <w:t>Manager of Institute</w:t>
      </w:r>
      <w:r>
        <w:rPr>
          <w:b/>
          <w:bCs/>
        </w:rPr>
        <w:t xml:space="preserve">                         Next Review 25 / </w:t>
      </w:r>
      <w:r w:rsidR="00410FC4">
        <w:rPr>
          <w:b/>
          <w:bCs/>
        </w:rPr>
        <w:t>June</w:t>
      </w:r>
      <w:r>
        <w:rPr>
          <w:b/>
          <w:bCs/>
        </w:rPr>
        <w:t xml:space="preserve"> / 2026</w:t>
      </w:r>
    </w:p>
    <w:p w14:paraId="65510F41" w14:textId="1C531397" w:rsidR="00491237" w:rsidRPr="003E4A71" w:rsidRDefault="005E4338" w:rsidP="003E4A71">
      <w:pPr>
        <w:tabs>
          <w:tab w:val="left" w:pos="6802"/>
        </w:tabs>
        <w:rPr>
          <w:b/>
          <w:bCs/>
        </w:rPr>
      </w:pPr>
      <w:r w:rsidRPr="00FB5A7D">
        <w:rPr>
          <w:b/>
          <w:bCs/>
        </w:rPr>
        <w:t xml:space="preserve">                                                                     25 / </w:t>
      </w:r>
      <w:r w:rsidR="00410FC4">
        <w:rPr>
          <w:b/>
          <w:bCs/>
        </w:rPr>
        <w:t>June</w:t>
      </w:r>
      <w:r w:rsidRPr="00FB5A7D">
        <w:rPr>
          <w:b/>
          <w:bCs/>
        </w:rPr>
        <w:t xml:space="preserve"> / 2025</w:t>
      </w:r>
    </w:p>
    <w:sectPr w:rsidR="00491237" w:rsidRPr="003E4A71" w:rsidSect="008A206C">
      <w:headerReference w:type="default" r:id="rId12"/>
      <w:footerReference w:type="default" r:id="rId13"/>
      <w:pgSz w:w="12240" w:h="15840"/>
      <w:pgMar w:top="578" w:right="1440" w:bottom="993" w:left="144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9ED627" w14:textId="77777777" w:rsidR="00190D80" w:rsidRDefault="00190D80" w:rsidP="002C7D37">
      <w:pPr>
        <w:spacing w:after="0" w:line="240" w:lineRule="auto"/>
      </w:pPr>
      <w:r>
        <w:separator/>
      </w:r>
    </w:p>
  </w:endnote>
  <w:endnote w:type="continuationSeparator" w:id="0">
    <w:p w14:paraId="39C71C1C" w14:textId="77777777" w:rsidR="00190D80" w:rsidRDefault="00190D80" w:rsidP="002C7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23B3EA" w14:textId="77777777" w:rsidR="00491237" w:rsidRDefault="00491237">
    <w:pPr>
      <w:pStyle w:val="Footer"/>
    </w:pPr>
  </w:p>
  <w:p w14:paraId="5897CFFC" w14:textId="6154DB9B" w:rsidR="00491237" w:rsidRDefault="00491237">
    <w:pPr>
      <w:pStyle w:val="Footer"/>
    </w:pPr>
  </w:p>
  <w:p w14:paraId="17A5828B" w14:textId="3DB7C268" w:rsidR="00491237" w:rsidRDefault="00491237">
    <w:pPr>
      <w:pStyle w:val="Footer"/>
    </w:pPr>
    <w:r w:rsidRPr="00410FC4">
      <w:rPr>
        <w:b/>
        <w:bCs/>
      </w:rPr>
      <w:t>TQTI-HSE-PO-03</w:t>
    </w:r>
    <w:r w:rsidRPr="00410FC4">
      <w:t xml:space="preserve">                                       </w:t>
    </w:r>
    <w:r>
      <w:rPr>
        <w:noProof/>
      </w:rPr>
      <w:drawing>
        <wp:anchor distT="0" distB="0" distL="114300" distR="114300" simplePos="0" relativeHeight="251659264" behindDoc="1" locked="0" layoutInCell="1" allowOverlap="1" wp14:anchorId="0B793700" wp14:editId="56463B04">
          <wp:simplePos x="0" y="0"/>
          <wp:positionH relativeFrom="column">
            <wp:posOffset>-894715</wp:posOffset>
          </wp:positionH>
          <wp:positionV relativeFrom="paragraph">
            <wp:posOffset>279535</wp:posOffset>
          </wp:positionV>
          <wp:extent cx="7759700" cy="617855"/>
          <wp:effectExtent l="0" t="0" r="0" b="0"/>
          <wp:wrapNone/>
          <wp:docPr id="56539723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296754" name="Picture 1507296754"/>
                  <pic:cNvPicPr/>
                </pic:nvPicPr>
                <pic:blipFill>
                  <a:blip r:embed="rId1">
                    <a:extLst>
                      <a:ext uri="{28A0092B-C50C-407E-A947-70E740481C1C}">
                        <a14:useLocalDpi xmlns:a14="http://schemas.microsoft.com/office/drawing/2010/main" val="0"/>
                      </a:ext>
                    </a:extLst>
                  </a:blip>
                  <a:stretch>
                    <a:fillRect/>
                  </a:stretch>
                </pic:blipFill>
                <pic:spPr>
                  <a:xfrm>
                    <a:off x="0" y="0"/>
                    <a:ext cx="7759700" cy="617855"/>
                  </a:xfrm>
                  <a:prstGeom prst="rect">
                    <a:avLst/>
                  </a:prstGeom>
                </pic:spPr>
              </pic:pic>
            </a:graphicData>
          </a:graphic>
          <wp14:sizeRelH relativeFrom="margin">
            <wp14:pctWidth>0</wp14:pctWidth>
          </wp14:sizeRelH>
        </wp:anchor>
      </w:drawing>
    </w:r>
  </w:p>
  <w:p w14:paraId="3109771D" w14:textId="056171FC" w:rsidR="00491237" w:rsidRDefault="00491237">
    <w:pPr>
      <w:pStyle w:val="Footer"/>
    </w:pPr>
  </w:p>
  <w:p w14:paraId="4032FA09" w14:textId="77777777" w:rsidR="00491237" w:rsidRDefault="00491237">
    <w:pPr>
      <w:pStyle w:val="Footer"/>
    </w:pPr>
  </w:p>
  <w:p w14:paraId="1B0D98BA" w14:textId="77777777" w:rsidR="00491237" w:rsidRDefault="00491237">
    <w:pPr>
      <w:pStyle w:val="Footer"/>
    </w:pPr>
  </w:p>
  <w:p w14:paraId="3E71AEFF" w14:textId="3A1CF1B8" w:rsidR="002C7D37" w:rsidRDefault="002C7D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23A43C" w14:textId="77777777" w:rsidR="00190D80" w:rsidRDefault="00190D80" w:rsidP="002C7D37">
      <w:pPr>
        <w:spacing w:after="0" w:line="240" w:lineRule="auto"/>
      </w:pPr>
      <w:r>
        <w:separator/>
      </w:r>
    </w:p>
  </w:footnote>
  <w:footnote w:type="continuationSeparator" w:id="0">
    <w:p w14:paraId="4B6E2A30" w14:textId="77777777" w:rsidR="00190D80" w:rsidRDefault="00190D80" w:rsidP="002C7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380D0F" w14:textId="07FBAE84" w:rsidR="002C7D37" w:rsidRDefault="00223E8B">
    <w:pPr>
      <w:pStyle w:val="Header"/>
      <w:rPr>
        <w:noProof/>
        <w:lang w:val="en-IN"/>
      </w:rPr>
    </w:pPr>
    <w:r>
      <w:rPr>
        <w:rFonts w:asciiTheme="majorBidi" w:hAnsiTheme="majorBidi" w:cstheme="majorBidi"/>
        <w:noProof/>
        <w:sz w:val="28"/>
        <w:szCs w:val="28"/>
        <w:rtl/>
      </w:rPr>
      <w:drawing>
        <wp:anchor distT="0" distB="0" distL="114300" distR="114300" simplePos="0" relativeHeight="251661312" behindDoc="0" locked="0" layoutInCell="1" allowOverlap="1" wp14:anchorId="69B9086E" wp14:editId="535BE865">
          <wp:simplePos x="0" y="0"/>
          <wp:positionH relativeFrom="page">
            <wp:posOffset>66675</wp:posOffset>
          </wp:positionH>
          <wp:positionV relativeFrom="paragraph">
            <wp:posOffset>40096</wp:posOffset>
          </wp:positionV>
          <wp:extent cx="7668000" cy="1074894"/>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rotWithShape="1">
                  <a:blip r:embed="rId1">
                    <a:extLst>
                      <a:ext uri="{28A0092B-C50C-407E-A947-70E740481C1C}">
                        <a14:useLocalDpi xmlns:a14="http://schemas.microsoft.com/office/drawing/2010/main" val="0"/>
                      </a:ext>
                    </a:extLst>
                  </a:blip>
                  <a:srcRect l="485" r="485" b="90177"/>
                  <a:stretch>
                    <a:fillRect/>
                  </a:stretch>
                </pic:blipFill>
                <pic:spPr bwMode="auto">
                  <a:xfrm>
                    <a:off x="0" y="0"/>
                    <a:ext cx="7668000" cy="107489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AAF6A18" w14:textId="3972E659" w:rsidR="00223E8B" w:rsidRDefault="00223E8B">
    <w:pPr>
      <w:pStyle w:val="Header"/>
      <w:rPr>
        <w:noProof/>
        <w:lang w:val="en-IN"/>
      </w:rPr>
    </w:pPr>
  </w:p>
  <w:p w14:paraId="249E9A7D" w14:textId="561C545C" w:rsidR="00223E8B" w:rsidRDefault="00223E8B">
    <w:pPr>
      <w:pStyle w:val="Header"/>
      <w:rPr>
        <w:noProof/>
        <w:lang w:val="en-IN"/>
      </w:rPr>
    </w:pPr>
  </w:p>
  <w:p w14:paraId="61F52A4B" w14:textId="7741F6EF" w:rsidR="00223E8B" w:rsidRDefault="00223E8B">
    <w:pPr>
      <w:pStyle w:val="Header"/>
      <w:rPr>
        <w:noProof/>
        <w:lang w:val="en-IN"/>
      </w:rPr>
    </w:pPr>
  </w:p>
  <w:p w14:paraId="49078CA4" w14:textId="44F42F1B" w:rsidR="00223E8B" w:rsidRDefault="00223E8B">
    <w:pPr>
      <w:pStyle w:val="Header"/>
      <w:rPr>
        <w:noProof/>
        <w:lang w:val="en-IN"/>
      </w:rPr>
    </w:pPr>
  </w:p>
  <w:p w14:paraId="658244A4" w14:textId="6B25DD30" w:rsidR="00223E8B" w:rsidRPr="00223E8B" w:rsidRDefault="00223E8B">
    <w:pPr>
      <w:pStyle w:val="Header"/>
      <w:rPr>
        <w:lang w:val="en-I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E716C5"/>
    <w:multiLevelType w:val="hybridMultilevel"/>
    <w:tmpl w:val="E4C4E53E"/>
    <w:lvl w:ilvl="0" w:tplc="16AC3628">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CE95B01"/>
    <w:multiLevelType w:val="hybridMultilevel"/>
    <w:tmpl w:val="E8D6F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14D07F9"/>
    <w:multiLevelType w:val="hybridMultilevel"/>
    <w:tmpl w:val="0F22CE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46C6095"/>
    <w:multiLevelType w:val="hybridMultilevel"/>
    <w:tmpl w:val="B7A4AE0C"/>
    <w:lvl w:ilvl="0" w:tplc="B500631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32249340">
    <w:abstractNumId w:val="2"/>
  </w:num>
  <w:num w:numId="2" w16cid:durableId="1841971317">
    <w:abstractNumId w:val="0"/>
  </w:num>
  <w:num w:numId="3" w16cid:durableId="819227923">
    <w:abstractNumId w:val="1"/>
  </w:num>
  <w:num w:numId="4" w16cid:durableId="1384196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300"/>
    <w:rsid w:val="0000424B"/>
    <w:rsid w:val="00007678"/>
    <w:rsid w:val="000258CC"/>
    <w:rsid w:val="00055300"/>
    <w:rsid w:val="001226BF"/>
    <w:rsid w:val="001603A7"/>
    <w:rsid w:val="00182F67"/>
    <w:rsid w:val="00190D80"/>
    <w:rsid w:val="001D4124"/>
    <w:rsid w:val="001E5CA9"/>
    <w:rsid w:val="00213711"/>
    <w:rsid w:val="00223E8B"/>
    <w:rsid w:val="0026243F"/>
    <w:rsid w:val="00295464"/>
    <w:rsid w:val="002A2C9D"/>
    <w:rsid w:val="002C7D37"/>
    <w:rsid w:val="00345F11"/>
    <w:rsid w:val="0036619F"/>
    <w:rsid w:val="003E4A71"/>
    <w:rsid w:val="00410FC4"/>
    <w:rsid w:val="00414EB7"/>
    <w:rsid w:val="00455ECF"/>
    <w:rsid w:val="00491237"/>
    <w:rsid w:val="00590E43"/>
    <w:rsid w:val="005E4338"/>
    <w:rsid w:val="006406DE"/>
    <w:rsid w:val="006D3002"/>
    <w:rsid w:val="006E008D"/>
    <w:rsid w:val="006F494F"/>
    <w:rsid w:val="00805722"/>
    <w:rsid w:val="00812CB1"/>
    <w:rsid w:val="00842ECC"/>
    <w:rsid w:val="00886A1E"/>
    <w:rsid w:val="008A206C"/>
    <w:rsid w:val="0090621E"/>
    <w:rsid w:val="00957F1C"/>
    <w:rsid w:val="009D145D"/>
    <w:rsid w:val="009F5DAC"/>
    <w:rsid w:val="00A16900"/>
    <w:rsid w:val="00A318F4"/>
    <w:rsid w:val="00A55FA5"/>
    <w:rsid w:val="00A629D7"/>
    <w:rsid w:val="00AB1F22"/>
    <w:rsid w:val="00AB20CA"/>
    <w:rsid w:val="00B23BB8"/>
    <w:rsid w:val="00B8077E"/>
    <w:rsid w:val="00BE7AE1"/>
    <w:rsid w:val="00C374BF"/>
    <w:rsid w:val="00C93A5C"/>
    <w:rsid w:val="00CB4627"/>
    <w:rsid w:val="00CD5F24"/>
    <w:rsid w:val="00CE1684"/>
    <w:rsid w:val="00CF02D9"/>
    <w:rsid w:val="00D03FC9"/>
    <w:rsid w:val="00D379F9"/>
    <w:rsid w:val="00D70C67"/>
    <w:rsid w:val="00D95656"/>
    <w:rsid w:val="00DB2802"/>
    <w:rsid w:val="00DC0E29"/>
    <w:rsid w:val="00DC59E0"/>
    <w:rsid w:val="00DE1496"/>
    <w:rsid w:val="00DE2279"/>
    <w:rsid w:val="00E1188F"/>
    <w:rsid w:val="00E20F8C"/>
    <w:rsid w:val="00E9158D"/>
    <w:rsid w:val="00EC4853"/>
    <w:rsid w:val="00EF5000"/>
    <w:rsid w:val="00F56DDD"/>
    <w:rsid w:val="00F658B2"/>
    <w:rsid w:val="00F659E7"/>
    <w:rsid w:val="00F876F7"/>
    <w:rsid w:val="00FA71FE"/>
    <w:rsid w:val="00FB5A7D"/>
    <w:rsid w:val="00FC2584"/>
    <w:rsid w:val="00FC3BBB"/>
    <w:rsid w:val="00FE56D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DC0984"/>
  <w15:chartTrackingRefBased/>
  <w15:docId w15:val="{92FD0AA9-2BB7-4D51-BA81-A521C5F16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206C"/>
    <w:pPr>
      <w:spacing w:after="200" w:line="276" w:lineRule="auto"/>
    </w:pPr>
    <w:rPr>
      <w:rFonts w:ascii="Calibri" w:eastAsia="Calibri" w:hAnsi="Calibri" w:cs="Arial"/>
      <w:kern w:val="0"/>
      <w:sz w:val="22"/>
      <w:szCs w:val="22"/>
      <w:lang w:bidi="ar-OM"/>
      <w14:ligatures w14:val="none"/>
    </w:rPr>
  </w:style>
  <w:style w:type="paragraph" w:styleId="Heading1">
    <w:name w:val="heading 1"/>
    <w:basedOn w:val="Normal"/>
    <w:next w:val="Normal"/>
    <w:link w:val="Heading1Char"/>
    <w:uiPriority w:val="9"/>
    <w:qFormat/>
    <w:rsid w:val="00055300"/>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bidi="ar-SA"/>
      <w14:ligatures w14:val="standardContextual"/>
    </w:rPr>
  </w:style>
  <w:style w:type="paragraph" w:styleId="Heading2">
    <w:name w:val="heading 2"/>
    <w:basedOn w:val="Normal"/>
    <w:next w:val="Normal"/>
    <w:link w:val="Heading2Char"/>
    <w:uiPriority w:val="9"/>
    <w:semiHidden/>
    <w:unhideWhenUsed/>
    <w:qFormat/>
    <w:rsid w:val="00055300"/>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bidi="ar-SA"/>
      <w14:ligatures w14:val="standardContextual"/>
    </w:rPr>
  </w:style>
  <w:style w:type="paragraph" w:styleId="Heading3">
    <w:name w:val="heading 3"/>
    <w:basedOn w:val="Normal"/>
    <w:next w:val="Normal"/>
    <w:link w:val="Heading3Char"/>
    <w:uiPriority w:val="9"/>
    <w:semiHidden/>
    <w:unhideWhenUsed/>
    <w:qFormat/>
    <w:rsid w:val="00055300"/>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bidi="ar-SA"/>
      <w14:ligatures w14:val="standardContextual"/>
    </w:rPr>
  </w:style>
  <w:style w:type="paragraph" w:styleId="Heading4">
    <w:name w:val="heading 4"/>
    <w:basedOn w:val="Normal"/>
    <w:next w:val="Normal"/>
    <w:link w:val="Heading4Char"/>
    <w:uiPriority w:val="9"/>
    <w:semiHidden/>
    <w:unhideWhenUsed/>
    <w:qFormat/>
    <w:rsid w:val="00055300"/>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lang w:bidi="ar-SA"/>
      <w14:ligatures w14:val="standardContextual"/>
    </w:rPr>
  </w:style>
  <w:style w:type="paragraph" w:styleId="Heading5">
    <w:name w:val="heading 5"/>
    <w:basedOn w:val="Normal"/>
    <w:next w:val="Normal"/>
    <w:link w:val="Heading5Char"/>
    <w:uiPriority w:val="9"/>
    <w:semiHidden/>
    <w:unhideWhenUsed/>
    <w:qFormat/>
    <w:rsid w:val="00055300"/>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lang w:bidi="ar-SA"/>
      <w14:ligatures w14:val="standardContextual"/>
    </w:rPr>
  </w:style>
  <w:style w:type="paragraph" w:styleId="Heading6">
    <w:name w:val="heading 6"/>
    <w:basedOn w:val="Normal"/>
    <w:next w:val="Normal"/>
    <w:link w:val="Heading6Char"/>
    <w:uiPriority w:val="9"/>
    <w:semiHidden/>
    <w:unhideWhenUsed/>
    <w:qFormat/>
    <w:rsid w:val="00055300"/>
    <w:pPr>
      <w:keepNext/>
      <w:keepLines/>
      <w:spacing w:before="40" w:after="0" w:line="278" w:lineRule="auto"/>
      <w:outlineLvl w:val="5"/>
    </w:pPr>
    <w:rPr>
      <w:rFonts w:asciiTheme="minorHAnsi" w:eastAsiaTheme="majorEastAsia" w:hAnsiTheme="minorHAnsi" w:cstheme="majorBidi"/>
      <w:i/>
      <w:iCs/>
      <w:color w:val="595959" w:themeColor="text1" w:themeTint="A6"/>
      <w:kern w:val="2"/>
      <w:sz w:val="24"/>
      <w:szCs w:val="24"/>
      <w:lang w:bidi="ar-SA"/>
      <w14:ligatures w14:val="standardContextual"/>
    </w:rPr>
  </w:style>
  <w:style w:type="paragraph" w:styleId="Heading7">
    <w:name w:val="heading 7"/>
    <w:basedOn w:val="Normal"/>
    <w:next w:val="Normal"/>
    <w:link w:val="Heading7Char"/>
    <w:uiPriority w:val="9"/>
    <w:semiHidden/>
    <w:unhideWhenUsed/>
    <w:qFormat/>
    <w:rsid w:val="00055300"/>
    <w:pPr>
      <w:keepNext/>
      <w:keepLines/>
      <w:spacing w:before="40" w:after="0" w:line="278" w:lineRule="auto"/>
      <w:outlineLvl w:val="6"/>
    </w:pPr>
    <w:rPr>
      <w:rFonts w:asciiTheme="minorHAnsi" w:eastAsiaTheme="majorEastAsia" w:hAnsiTheme="minorHAnsi" w:cstheme="majorBidi"/>
      <w:color w:val="595959" w:themeColor="text1" w:themeTint="A6"/>
      <w:kern w:val="2"/>
      <w:sz w:val="24"/>
      <w:szCs w:val="24"/>
      <w:lang w:bidi="ar-SA"/>
      <w14:ligatures w14:val="standardContextual"/>
    </w:rPr>
  </w:style>
  <w:style w:type="paragraph" w:styleId="Heading8">
    <w:name w:val="heading 8"/>
    <w:basedOn w:val="Normal"/>
    <w:next w:val="Normal"/>
    <w:link w:val="Heading8Char"/>
    <w:uiPriority w:val="9"/>
    <w:semiHidden/>
    <w:unhideWhenUsed/>
    <w:qFormat/>
    <w:rsid w:val="00055300"/>
    <w:pPr>
      <w:keepNext/>
      <w:keepLines/>
      <w:spacing w:after="0" w:line="278" w:lineRule="auto"/>
      <w:outlineLvl w:val="7"/>
    </w:pPr>
    <w:rPr>
      <w:rFonts w:asciiTheme="minorHAnsi" w:eastAsiaTheme="majorEastAsia" w:hAnsiTheme="minorHAnsi" w:cstheme="majorBidi"/>
      <w:i/>
      <w:iCs/>
      <w:color w:val="272727" w:themeColor="text1" w:themeTint="D8"/>
      <w:kern w:val="2"/>
      <w:sz w:val="24"/>
      <w:szCs w:val="24"/>
      <w:lang w:bidi="ar-SA"/>
      <w14:ligatures w14:val="standardContextual"/>
    </w:rPr>
  </w:style>
  <w:style w:type="paragraph" w:styleId="Heading9">
    <w:name w:val="heading 9"/>
    <w:basedOn w:val="Normal"/>
    <w:next w:val="Normal"/>
    <w:link w:val="Heading9Char"/>
    <w:uiPriority w:val="9"/>
    <w:semiHidden/>
    <w:unhideWhenUsed/>
    <w:qFormat/>
    <w:rsid w:val="00055300"/>
    <w:pPr>
      <w:keepNext/>
      <w:keepLines/>
      <w:spacing w:after="0" w:line="278" w:lineRule="auto"/>
      <w:outlineLvl w:val="8"/>
    </w:pPr>
    <w:rPr>
      <w:rFonts w:asciiTheme="minorHAnsi" w:eastAsiaTheme="majorEastAsia" w:hAnsiTheme="minorHAnsi" w:cstheme="majorBidi"/>
      <w:color w:val="272727" w:themeColor="text1" w:themeTint="D8"/>
      <w:kern w:val="2"/>
      <w:sz w:val="24"/>
      <w:szCs w:val="24"/>
      <w:lang w:bidi="ar-SA"/>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530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5530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530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530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530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530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530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530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5300"/>
    <w:rPr>
      <w:rFonts w:eastAsiaTheme="majorEastAsia" w:cstheme="majorBidi"/>
      <w:color w:val="272727" w:themeColor="text1" w:themeTint="D8"/>
    </w:rPr>
  </w:style>
  <w:style w:type="paragraph" w:styleId="Title">
    <w:name w:val="Title"/>
    <w:basedOn w:val="Normal"/>
    <w:next w:val="Normal"/>
    <w:link w:val="TitleChar"/>
    <w:uiPriority w:val="10"/>
    <w:qFormat/>
    <w:rsid w:val="00055300"/>
    <w:pPr>
      <w:spacing w:after="80" w:line="240" w:lineRule="auto"/>
      <w:contextualSpacing/>
    </w:pPr>
    <w:rPr>
      <w:rFonts w:asciiTheme="majorHAnsi" w:eastAsiaTheme="majorEastAsia" w:hAnsiTheme="majorHAnsi" w:cstheme="majorBidi"/>
      <w:spacing w:val="-10"/>
      <w:kern w:val="28"/>
      <w:sz w:val="56"/>
      <w:szCs w:val="56"/>
      <w:lang w:bidi="ar-SA"/>
      <w14:ligatures w14:val="standardContextual"/>
    </w:rPr>
  </w:style>
  <w:style w:type="character" w:customStyle="1" w:styleId="TitleChar">
    <w:name w:val="Title Char"/>
    <w:basedOn w:val="DefaultParagraphFont"/>
    <w:link w:val="Title"/>
    <w:uiPriority w:val="10"/>
    <w:rsid w:val="0005530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5300"/>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bidi="ar-SA"/>
      <w14:ligatures w14:val="standardContextual"/>
    </w:rPr>
  </w:style>
  <w:style w:type="character" w:customStyle="1" w:styleId="SubtitleChar">
    <w:name w:val="Subtitle Char"/>
    <w:basedOn w:val="DefaultParagraphFont"/>
    <w:link w:val="Subtitle"/>
    <w:uiPriority w:val="11"/>
    <w:rsid w:val="0005530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5300"/>
    <w:pPr>
      <w:spacing w:before="160" w:after="160" w:line="278" w:lineRule="auto"/>
      <w:jc w:val="center"/>
    </w:pPr>
    <w:rPr>
      <w:rFonts w:asciiTheme="minorHAnsi" w:eastAsiaTheme="minorHAnsi" w:hAnsiTheme="minorHAnsi" w:cstheme="minorBidi"/>
      <w:i/>
      <w:iCs/>
      <w:color w:val="404040" w:themeColor="text1" w:themeTint="BF"/>
      <w:kern w:val="2"/>
      <w:sz w:val="24"/>
      <w:szCs w:val="24"/>
      <w:lang w:bidi="ar-SA"/>
      <w14:ligatures w14:val="standardContextual"/>
    </w:rPr>
  </w:style>
  <w:style w:type="character" w:customStyle="1" w:styleId="QuoteChar">
    <w:name w:val="Quote Char"/>
    <w:basedOn w:val="DefaultParagraphFont"/>
    <w:link w:val="Quote"/>
    <w:uiPriority w:val="29"/>
    <w:rsid w:val="00055300"/>
    <w:rPr>
      <w:i/>
      <w:iCs/>
      <w:color w:val="404040" w:themeColor="text1" w:themeTint="BF"/>
    </w:rPr>
  </w:style>
  <w:style w:type="paragraph" w:styleId="ListParagraph">
    <w:name w:val="List Paragraph"/>
    <w:basedOn w:val="Normal"/>
    <w:uiPriority w:val="34"/>
    <w:qFormat/>
    <w:rsid w:val="00055300"/>
    <w:pPr>
      <w:spacing w:after="160" w:line="278" w:lineRule="auto"/>
      <w:ind w:left="720"/>
      <w:contextualSpacing/>
    </w:pPr>
    <w:rPr>
      <w:rFonts w:asciiTheme="minorHAnsi" w:eastAsiaTheme="minorHAnsi" w:hAnsiTheme="minorHAnsi" w:cstheme="minorBidi"/>
      <w:kern w:val="2"/>
      <w:sz w:val="24"/>
      <w:szCs w:val="24"/>
      <w:lang w:bidi="ar-SA"/>
      <w14:ligatures w14:val="standardContextual"/>
    </w:rPr>
  </w:style>
  <w:style w:type="character" w:styleId="IntenseEmphasis">
    <w:name w:val="Intense Emphasis"/>
    <w:basedOn w:val="DefaultParagraphFont"/>
    <w:uiPriority w:val="21"/>
    <w:qFormat/>
    <w:rsid w:val="00055300"/>
    <w:rPr>
      <w:i/>
      <w:iCs/>
      <w:color w:val="0F4761" w:themeColor="accent1" w:themeShade="BF"/>
    </w:rPr>
  </w:style>
  <w:style w:type="paragraph" w:styleId="IntenseQuote">
    <w:name w:val="Intense Quote"/>
    <w:basedOn w:val="Normal"/>
    <w:next w:val="Normal"/>
    <w:link w:val="IntenseQuoteChar"/>
    <w:uiPriority w:val="30"/>
    <w:qFormat/>
    <w:rsid w:val="00055300"/>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lang w:bidi="ar-SA"/>
      <w14:ligatures w14:val="standardContextual"/>
    </w:rPr>
  </w:style>
  <w:style w:type="character" w:customStyle="1" w:styleId="IntenseQuoteChar">
    <w:name w:val="Intense Quote Char"/>
    <w:basedOn w:val="DefaultParagraphFont"/>
    <w:link w:val="IntenseQuote"/>
    <w:uiPriority w:val="30"/>
    <w:rsid w:val="00055300"/>
    <w:rPr>
      <w:i/>
      <w:iCs/>
      <w:color w:val="0F4761" w:themeColor="accent1" w:themeShade="BF"/>
    </w:rPr>
  </w:style>
  <w:style w:type="character" w:styleId="IntenseReference">
    <w:name w:val="Intense Reference"/>
    <w:basedOn w:val="DefaultParagraphFont"/>
    <w:uiPriority w:val="32"/>
    <w:qFormat/>
    <w:rsid w:val="00055300"/>
    <w:rPr>
      <w:b/>
      <w:bCs/>
      <w:smallCaps/>
      <w:color w:val="0F4761" w:themeColor="accent1" w:themeShade="BF"/>
      <w:spacing w:val="5"/>
    </w:rPr>
  </w:style>
  <w:style w:type="paragraph" w:styleId="Header">
    <w:name w:val="header"/>
    <w:basedOn w:val="Normal"/>
    <w:link w:val="HeaderChar"/>
    <w:uiPriority w:val="99"/>
    <w:unhideWhenUsed/>
    <w:rsid w:val="002C7D37"/>
    <w:pPr>
      <w:tabs>
        <w:tab w:val="center" w:pos="4680"/>
        <w:tab w:val="right" w:pos="9360"/>
      </w:tabs>
      <w:spacing w:after="0" w:line="240" w:lineRule="auto"/>
    </w:pPr>
    <w:rPr>
      <w:rFonts w:asciiTheme="minorHAnsi" w:eastAsiaTheme="minorHAnsi" w:hAnsiTheme="minorHAnsi" w:cstheme="minorBidi"/>
      <w:kern w:val="2"/>
      <w:sz w:val="24"/>
      <w:szCs w:val="24"/>
      <w:lang w:bidi="ar-SA"/>
      <w14:ligatures w14:val="standardContextual"/>
    </w:rPr>
  </w:style>
  <w:style w:type="character" w:customStyle="1" w:styleId="HeaderChar">
    <w:name w:val="Header Char"/>
    <w:basedOn w:val="DefaultParagraphFont"/>
    <w:link w:val="Header"/>
    <w:uiPriority w:val="99"/>
    <w:rsid w:val="002C7D37"/>
  </w:style>
  <w:style w:type="paragraph" w:styleId="Footer">
    <w:name w:val="footer"/>
    <w:basedOn w:val="Normal"/>
    <w:link w:val="FooterChar"/>
    <w:uiPriority w:val="99"/>
    <w:unhideWhenUsed/>
    <w:rsid w:val="002C7D37"/>
    <w:pPr>
      <w:tabs>
        <w:tab w:val="center" w:pos="4680"/>
        <w:tab w:val="right" w:pos="9360"/>
      </w:tabs>
      <w:spacing w:after="0" w:line="240" w:lineRule="auto"/>
    </w:pPr>
    <w:rPr>
      <w:rFonts w:asciiTheme="minorHAnsi" w:eastAsiaTheme="minorHAnsi" w:hAnsiTheme="minorHAnsi" w:cstheme="minorBidi"/>
      <w:kern w:val="2"/>
      <w:sz w:val="24"/>
      <w:szCs w:val="24"/>
      <w:lang w:bidi="ar-SA"/>
      <w14:ligatures w14:val="standardContextual"/>
    </w:rPr>
  </w:style>
  <w:style w:type="character" w:customStyle="1" w:styleId="FooterChar">
    <w:name w:val="Footer Char"/>
    <w:basedOn w:val="DefaultParagraphFont"/>
    <w:link w:val="Footer"/>
    <w:uiPriority w:val="99"/>
    <w:rsid w:val="002C7D37"/>
  </w:style>
  <w:style w:type="character" w:styleId="Hyperlink">
    <w:name w:val="Hyperlink"/>
    <w:basedOn w:val="DefaultParagraphFont"/>
    <w:uiPriority w:val="99"/>
    <w:unhideWhenUsed/>
    <w:rsid w:val="00CF02D9"/>
    <w:rPr>
      <w:color w:val="467886" w:themeColor="hyperlink"/>
      <w:u w:val="single"/>
    </w:rPr>
  </w:style>
  <w:style w:type="character" w:styleId="UnresolvedMention">
    <w:name w:val="Unresolved Mention"/>
    <w:basedOn w:val="DefaultParagraphFont"/>
    <w:uiPriority w:val="99"/>
    <w:semiHidden/>
    <w:unhideWhenUsed/>
    <w:rsid w:val="00CF02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qtoman.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fo@tqtoman.com" TargetMode="External"/><Relationship Id="rId4" Type="http://schemas.openxmlformats.org/officeDocument/2006/relationships/settings" Target="settings.xml"/><Relationship Id="rId9" Type="http://schemas.openxmlformats.org/officeDocument/2006/relationships/hyperlink" Target="mailto:info@tqtoman.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2E8B83-2437-49FD-8293-F6BB3FFA1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1993</TotalTime>
  <Pages>4</Pages>
  <Words>923</Words>
  <Characters>5264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 Al Wahaibi</dc:creator>
  <cp:keywords/>
  <dc:description/>
  <cp:lastModifiedBy>LENOVO</cp:lastModifiedBy>
  <cp:revision>75</cp:revision>
  <cp:lastPrinted>2025-03-28T10:06:00Z</cp:lastPrinted>
  <dcterms:created xsi:type="dcterms:W3CDTF">2025-03-28T10:03:00Z</dcterms:created>
  <dcterms:modified xsi:type="dcterms:W3CDTF">2025-08-27T06:50:00Z</dcterms:modified>
</cp:coreProperties>
</file>